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8" w:firstLineChars="600"/>
        <w:jc w:val="center"/>
        <w:rPr>
          <w:rFonts w:eastAsia="宋体" w:asciiTheme="minorEastAsia" w:hAnsiTheme="minorEastAsia" w:cstheme="minorEastAsia"/>
          <w:b/>
          <w:bCs/>
          <w:sz w:val="32"/>
          <w:szCs w:val="32"/>
        </w:rPr>
      </w:pPr>
      <w:r>
        <w:rPr>
          <w:rFonts w:hint="eastAsia" w:ascii="宋体" w:hAnsi="宋体" w:eastAsia="宋体" w:cs="宋体"/>
          <w:b/>
          <w:bCs/>
          <w:sz w:val="32"/>
          <w:szCs w:val="32"/>
        </w:rPr>
        <w:t>金华市</w:t>
      </w:r>
      <w:r>
        <w:rPr>
          <w:rFonts w:hint="eastAsia" w:ascii="宋体" w:hAnsi="宋体" w:eastAsia="宋体" w:cs="宋体"/>
          <w:b/>
          <w:bCs/>
          <w:sz w:val="32"/>
          <w:szCs w:val="32"/>
          <w:lang w:val="en-US" w:eastAsia="zh-CN"/>
        </w:rPr>
        <w:t>妇幼保健院</w:t>
      </w:r>
      <w:r>
        <w:rPr>
          <w:rFonts w:hint="eastAsia" w:ascii="宋体" w:hAnsi="宋体" w:eastAsia="宋体" w:cs="宋体"/>
          <w:b/>
          <w:bCs/>
          <w:sz w:val="32"/>
          <w:szCs w:val="32"/>
        </w:rPr>
        <w:t>医用食品采购</w:t>
      </w:r>
      <w:r>
        <w:rPr>
          <w:rFonts w:hint="eastAsia" w:ascii="宋体" w:hAnsi="宋体" w:eastAsia="宋体" w:cs="宋体"/>
          <w:b/>
          <w:bCs/>
          <w:sz w:val="32"/>
          <w:szCs w:val="32"/>
          <w:lang w:eastAsia="zh-CN"/>
        </w:rPr>
        <w:t>需求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660" w:leftChars="0" w:right="440" w:rightChars="200"/>
        <w:textAlignment w:val="auto"/>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一、服务期限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440" w:leftChars="200" w:right="440" w:rightChars="200" w:firstLine="480" w:firstLineChars="200"/>
        <w:textAlignment w:val="auto"/>
        <w:rPr>
          <w:rFonts w:asciiTheme="minorEastAsia" w:hAnsiTheme="minorEastAsia" w:eastAsiaTheme="minorEastAsia"/>
          <w:sz w:val="24"/>
        </w:rPr>
      </w:pPr>
      <w:r>
        <w:rPr>
          <w:rFonts w:asciiTheme="minorEastAsia" w:hAnsiTheme="minorEastAsia" w:eastAsiaTheme="minorEastAsia"/>
          <w:sz w:val="24"/>
        </w:rPr>
        <w:t>自合同签订之日起壹年</w:t>
      </w:r>
      <w:r>
        <w:rPr>
          <w:rFonts w:hint="eastAsia" w:asciiTheme="minorEastAsia" w:hAnsiTheme="minorEastAsia" w:eastAsiaTheme="minorEastAsia"/>
          <w:sz w:val="24"/>
        </w:rPr>
        <w:t>或合同实际发生额达到项目预算金额（以先到者为准）</w:t>
      </w:r>
      <w:r>
        <w:rPr>
          <w:rFonts w:asciiTheme="minorEastAsia" w:hAnsiTheme="minorEastAsia" w:eastAsiaTheme="minorEastAsia"/>
          <w:sz w:val="24"/>
        </w:rPr>
        <w:t>，具体</w:t>
      </w:r>
      <w:r>
        <w:rPr>
          <w:rFonts w:hint="eastAsia" w:asciiTheme="minorEastAsia" w:hAnsiTheme="minorEastAsia" w:eastAsiaTheme="minorEastAsia"/>
          <w:sz w:val="24"/>
        </w:rPr>
        <w:t>开始</w:t>
      </w:r>
      <w:r>
        <w:rPr>
          <w:rFonts w:asciiTheme="minorEastAsia" w:hAnsiTheme="minorEastAsia" w:eastAsiaTheme="minorEastAsia"/>
          <w:sz w:val="24"/>
        </w:rPr>
        <w:t>时间在签订合同时由</w:t>
      </w:r>
      <w:r>
        <w:rPr>
          <w:rFonts w:hint="eastAsia" w:asciiTheme="minorEastAsia" w:hAnsiTheme="minorEastAsia" w:eastAsiaTheme="minorEastAsia"/>
          <w:sz w:val="24"/>
        </w:rPr>
        <w:t>采购</w:t>
      </w:r>
      <w:r>
        <w:rPr>
          <w:rFonts w:asciiTheme="minorEastAsia" w:hAnsiTheme="minorEastAsia" w:eastAsiaTheme="minorEastAsia"/>
          <w:sz w:val="24"/>
        </w:rPr>
        <w:t>人确定</w:t>
      </w:r>
      <w:r>
        <w:rPr>
          <w:rFonts w:hint="eastAsia" w:asciiTheme="minorEastAsia" w:hAnsiTheme="minorEastAsia" w:eastAsiaTheme="minorEastAsia"/>
          <w:sz w:val="24"/>
          <w:lang w:eastAsia="zh-CN"/>
        </w:rPr>
        <w:t>。若</w:t>
      </w:r>
      <w:r>
        <w:rPr>
          <w:rFonts w:hint="eastAsia" w:asciiTheme="minorEastAsia" w:hAnsiTheme="minorEastAsia" w:eastAsiaTheme="minorEastAsia"/>
          <w:sz w:val="24"/>
        </w:rPr>
        <w:t>合同履约良好，</w:t>
      </w:r>
      <w:r>
        <w:rPr>
          <w:rFonts w:hint="eastAsia" w:asciiTheme="minorEastAsia" w:hAnsiTheme="minorEastAsia" w:eastAsiaTheme="minorEastAsia"/>
          <w:sz w:val="24"/>
          <w:lang w:eastAsia="zh-CN"/>
        </w:rPr>
        <w:t>经双方同意，</w:t>
      </w:r>
      <w:r>
        <w:rPr>
          <w:rFonts w:hint="eastAsia" w:asciiTheme="minorEastAsia" w:hAnsiTheme="minorEastAsia" w:eastAsiaTheme="minorEastAsia"/>
          <w:sz w:val="24"/>
        </w:rPr>
        <w:t>可续签一年</w:t>
      </w:r>
      <w:r>
        <w:rPr>
          <w:rFonts w:asciiTheme="minorEastAsia" w:hAnsiTheme="minorEastAsia" w:eastAsiaTheme="minorEastAsia"/>
          <w:sz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660" w:leftChars="0" w:right="440" w:rightChars="200"/>
        <w:textAlignment w:val="auto"/>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二、配送要求</w:t>
      </w:r>
    </w:p>
    <w:p>
      <w:pPr>
        <w:keepNext w:val="0"/>
        <w:keepLines w:val="0"/>
        <w:pageBreakBefore w:val="0"/>
        <w:widowControl w:val="0"/>
        <w:kinsoku/>
        <w:wordWrap/>
        <w:overflowPunct/>
        <w:topLinePunct w:val="0"/>
        <w:autoSpaceDE/>
        <w:autoSpaceDN/>
        <w:bidi w:val="0"/>
        <w:adjustRightInd w:val="0"/>
        <w:snapToGrid w:val="0"/>
        <w:spacing w:line="360" w:lineRule="auto"/>
        <w:ind w:left="440" w:leftChars="200" w:right="440" w:rightChars="200"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接到</w:t>
      </w:r>
      <w:r>
        <w:rPr>
          <w:rFonts w:hint="eastAsia" w:asciiTheme="minorEastAsia" w:hAnsiTheme="minorEastAsia" w:eastAsiaTheme="minorEastAsia"/>
          <w:sz w:val="24"/>
        </w:rPr>
        <w:t>采购</w:t>
      </w:r>
      <w:r>
        <w:rPr>
          <w:rFonts w:asciiTheme="minorEastAsia" w:hAnsiTheme="minorEastAsia" w:eastAsiaTheme="minorEastAsia"/>
          <w:sz w:val="24"/>
        </w:rPr>
        <w:t xml:space="preserve">人通知后 </w:t>
      </w:r>
      <w:r>
        <w:rPr>
          <w:rFonts w:hint="eastAsia" w:asciiTheme="minorEastAsia" w:hAnsiTheme="minorEastAsia" w:eastAsiaTheme="minorEastAsia"/>
          <w:sz w:val="24"/>
        </w:rPr>
        <w:t>72小时</w:t>
      </w:r>
      <w:r>
        <w:rPr>
          <w:rFonts w:asciiTheme="minorEastAsia" w:hAnsiTheme="minorEastAsia" w:eastAsiaTheme="minorEastAsia"/>
          <w:sz w:val="24"/>
        </w:rPr>
        <w:t>内按</w:t>
      </w:r>
      <w:r>
        <w:rPr>
          <w:rFonts w:hint="eastAsia" w:asciiTheme="minorEastAsia" w:hAnsiTheme="minorEastAsia" w:eastAsiaTheme="minorEastAsia"/>
          <w:sz w:val="24"/>
        </w:rPr>
        <w:t>采购</w:t>
      </w:r>
      <w:r>
        <w:rPr>
          <w:rFonts w:asciiTheme="minorEastAsia" w:hAnsiTheme="minorEastAsia" w:eastAsiaTheme="minorEastAsia"/>
          <w:sz w:val="24"/>
        </w:rPr>
        <w:t>人要求的数量</w:t>
      </w:r>
      <w:r>
        <w:rPr>
          <w:rFonts w:hint="eastAsia" w:asciiTheme="minorEastAsia" w:hAnsiTheme="minorEastAsia" w:eastAsiaTheme="minorEastAsia"/>
          <w:sz w:val="24"/>
        </w:rPr>
        <w:t>送货到采购</w:t>
      </w:r>
      <w:r>
        <w:rPr>
          <w:rFonts w:asciiTheme="minorEastAsia" w:hAnsiTheme="minorEastAsia" w:eastAsiaTheme="minorEastAsia"/>
          <w:sz w:val="24"/>
        </w:rPr>
        <w:t>人指定地点；紧急情况在</w:t>
      </w:r>
      <w:r>
        <w:rPr>
          <w:rFonts w:hint="eastAsia" w:asciiTheme="minorEastAsia" w:hAnsiTheme="minorEastAsia" w:eastAsiaTheme="minorEastAsia"/>
          <w:sz w:val="24"/>
        </w:rPr>
        <w:t>采购</w:t>
      </w:r>
      <w:r>
        <w:rPr>
          <w:rFonts w:asciiTheme="minorEastAsia" w:hAnsiTheme="minorEastAsia" w:eastAsiaTheme="minorEastAsia"/>
          <w:sz w:val="24"/>
        </w:rPr>
        <w:t>人发出缺货通知后，</w:t>
      </w:r>
      <w:r>
        <w:rPr>
          <w:rFonts w:hint="eastAsia" w:asciiTheme="minorEastAsia" w:hAnsiTheme="minorEastAsia" w:eastAsiaTheme="minorEastAsia"/>
          <w:sz w:val="24"/>
        </w:rPr>
        <w:t>24</w:t>
      </w:r>
      <w:r>
        <w:rPr>
          <w:rFonts w:asciiTheme="minorEastAsia" w:hAnsiTheme="minorEastAsia" w:eastAsiaTheme="minorEastAsia"/>
          <w:sz w:val="24"/>
        </w:rPr>
        <w:t>小时内</w:t>
      </w:r>
      <w:r>
        <w:rPr>
          <w:rFonts w:hint="eastAsia" w:asciiTheme="minorEastAsia" w:hAnsiTheme="minorEastAsia" w:eastAsiaTheme="minorEastAsia"/>
          <w:sz w:val="24"/>
        </w:rPr>
        <w:t>提供</w:t>
      </w:r>
      <w:r>
        <w:rPr>
          <w:rFonts w:asciiTheme="minorEastAsia" w:hAnsiTheme="minorEastAsia" w:eastAsiaTheme="minorEastAsia"/>
          <w:sz w:val="24"/>
        </w:rPr>
        <w:t>所需的货物。</w:t>
      </w:r>
      <w:r>
        <w:rPr>
          <w:rFonts w:hint="eastAsia" w:asciiTheme="minorEastAsia" w:hAnsiTheme="minorEastAsia" w:eastAsiaTheme="minorEastAsia"/>
          <w:sz w:val="24"/>
        </w:rPr>
        <w:t>在出现突发公共卫生事件或其他紧急情况时，</w:t>
      </w:r>
      <w:r>
        <w:rPr>
          <w:rFonts w:asciiTheme="minorEastAsia" w:hAnsiTheme="minorEastAsia" w:eastAsiaTheme="minorEastAsia"/>
          <w:sz w:val="24"/>
        </w:rPr>
        <w:t>中标人</w:t>
      </w:r>
      <w:r>
        <w:rPr>
          <w:rFonts w:hint="eastAsia" w:asciiTheme="minorEastAsia" w:hAnsiTheme="minorEastAsia" w:eastAsiaTheme="minorEastAsia"/>
          <w:sz w:val="24"/>
        </w:rPr>
        <w:t>应积极配合医院完成紧急配送服务。</w:t>
      </w:r>
    </w:p>
    <w:p>
      <w:pPr>
        <w:keepNext w:val="0"/>
        <w:keepLines w:val="0"/>
        <w:pageBreakBefore w:val="0"/>
        <w:widowControl w:val="0"/>
        <w:kinsoku/>
        <w:wordWrap/>
        <w:overflowPunct/>
        <w:topLinePunct w:val="0"/>
        <w:autoSpaceDE/>
        <w:autoSpaceDN/>
        <w:bidi w:val="0"/>
        <w:adjustRightInd w:val="0"/>
        <w:snapToGrid w:val="0"/>
        <w:spacing w:line="360" w:lineRule="auto"/>
        <w:ind w:left="440" w:leftChars="200" w:right="440" w:rightChars="200" w:firstLine="480" w:firstLineChars="200"/>
        <w:textAlignment w:val="auto"/>
        <w:rPr>
          <w:rFonts w:asciiTheme="minorEastAsia" w:hAnsiTheme="minorEastAsia" w:eastAsiaTheme="minorEastAsia"/>
          <w:strike/>
          <w:dstrike w:val="0"/>
          <w:sz w:val="24"/>
        </w:rPr>
      </w:pPr>
      <w:r>
        <w:rPr>
          <w:rFonts w:hint="eastAsia" w:asciiTheme="minorEastAsia" w:hAnsiTheme="minorEastAsia" w:eastAsiaTheme="minorEastAsia"/>
          <w:sz w:val="24"/>
        </w:rPr>
        <w:t>2.</w:t>
      </w:r>
      <w:r>
        <w:rPr>
          <w:rFonts w:asciiTheme="minorEastAsia" w:hAnsiTheme="minorEastAsia" w:eastAsiaTheme="minorEastAsia"/>
          <w:sz w:val="24"/>
        </w:rPr>
        <w:t>每次根据采购人的电话或其它方式通知订购品种、数量后，按时运送食品到指定地点，中标人随货提供注明货物名称、单位、数量、售价及总金额的商品送货清单，作为采购人入库验收凭证。</w:t>
      </w:r>
    </w:p>
    <w:p>
      <w:pPr>
        <w:keepNext w:val="0"/>
        <w:keepLines w:val="0"/>
        <w:pageBreakBefore w:val="0"/>
        <w:widowControl w:val="0"/>
        <w:kinsoku/>
        <w:wordWrap/>
        <w:overflowPunct/>
        <w:topLinePunct w:val="0"/>
        <w:autoSpaceDE/>
        <w:autoSpaceDN/>
        <w:bidi w:val="0"/>
        <w:adjustRightInd w:val="0"/>
        <w:snapToGrid w:val="0"/>
        <w:spacing w:line="360" w:lineRule="auto"/>
        <w:ind w:right="440" w:rightChars="200"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lang w:eastAsia="zh-CN"/>
        </w:rPr>
        <w:t>三</w:t>
      </w:r>
      <w:r>
        <w:rPr>
          <w:rFonts w:hint="eastAsia" w:asciiTheme="minorEastAsia" w:hAnsiTheme="minorEastAsia" w:eastAsiaTheme="minorEastAsia"/>
          <w:sz w:val="24"/>
        </w:rPr>
        <w:t>、质量要求</w:t>
      </w:r>
    </w:p>
    <w:p>
      <w:pPr>
        <w:keepNext w:val="0"/>
        <w:keepLines w:val="0"/>
        <w:pageBreakBefore w:val="0"/>
        <w:widowControl w:val="0"/>
        <w:kinsoku/>
        <w:wordWrap/>
        <w:overflowPunct/>
        <w:topLinePunct w:val="0"/>
        <w:autoSpaceDE/>
        <w:autoSpaceDN/>
        <w:bidi w:val="0"/>
        <w:adjustRightInd w:val="0"/>
        <w:snapToGrid w:val="0"/>
        <w:spacing w:line="360" w:lineRule="auto"/>
        <w:ind w:left="440" w:leftChars="200" w:right="440" w:rightChars="200"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1.所有产品质量及技术规范符合食品安全国家标准特殊医学用途配方食品通则（GB29922-2013）、《中国居民膳食营养参考摄入量DRIS》</w:t>
      </w:r>
    </w:p>
    <w:p>
      <w:pPr>
        <w:keepNext w:val="0"/>
        <w:keepLines w:val="0"/>
        <w:pageBreakBefore w:val="0"/>
        <w:kinsoku/>
        <w:wordWrap/>
        <w:overflowPunct/>
        <w:topLinePunct w:val="0"/>
        <w:autoSpaceDE/>
        <w:autoSpaceDN/>
        <w:bidi w:val="0"/>
        <w:adjustRightInd w:val="0"/>
        <w:snapToGrid w:val="0"/>
        <w:spacing w:line="360" w:lineRule="auto"/>
        <w:ind w:left="480" w:leftChars="218" w:right="440" w:rightChars="200" w:firstLine="480" w:firstLineChars="200"/>
        <w:textAlignment w:val="auto"/>
        <w:rPr>
          <w:rFonts w:hint="eastAsia" w:asciiTheme="minorEastAsia" w:hAnsiTheme="minorEastAsia" w:eastAsiaTheme="minorEastAsia"/>
          <w:sz w:val="24"/>
          <w:lang w:eastAsia="zh-CN"/>
        </w:rPr>
      </w:pPr>
      <w:r>
        <w:rPr>
          <w:rFonts w:hint="eastAsia" w:asciiTheme="minorEastAsia" w:hAnsiTheme="minorEastAsia" w:eastAsiaTheme="minorEastAsia"/>
          <w:sz w:val="24"/>
        </w:rPr>
        <w:t>2.</w:t>
      </w:r>
      <w:r>
        <w:rPr>
          <w:rFonts w:asciiTheme="minorEastAsia" w:hAnsiTheme="minorEastAsia" w:eastAsiaTheme="minorEastAsia"/>
          <w:sz w:val="24"/>
        </w:rPr>
        <w:t>所供</w:t>
      </w:r>
      <w:r>
        <w:rPr>
          <w:rFonts w:hint="eastAsia" w:asciiTheme="minorEastAsia" w:hAnsiTheme="minorEastAsia" w:eastAsiaTheme="minorEastAsia"/>
          <w:sz w:val="24"/>
        </w:rPr>
        <w:t>食</w:t>
      </w:r>
      <w:r>
        <w:rPr>
          <w:rFonts w:asciiTheme="minorEastAsia" w:hAnsiTheme="minorEastAsia" w:eastAsiaTheme="minorEastAsia"/>
          <w:sz w:val="24"/>
        </w:rPr>
        <w:t>品必须符合国家行业生产及经营标准，均能提供相应批次的合格检验证明</w:t>
      </w:r>
      <w:r>
        <w:rPr>
          <w:rFonts w:hint="eastAsia" w:asciiTheme="minorEastAsia" w:hAnsiTheme="minorEastAsia" w:eastAsiaTheme="minorEastAsia"/>
          <w:sz w:val="24"/>
          <w:lang w:eastAsia="zh-CN"/>
        </w:rPr>
        <w:t>，并</w:t>
      </w:r>
      <w:r>
        <w:rPr>
          <w:rFonts w:asciiTheme="minorEastAsia" w:hAnsiTheme="minorEastAsia" w:eastAsiaTheme="minorEastAsia"/>
          <w:sz w:val="24"/>
        </w:rPr>
        <w:t>提供能量和营养素成分说明表。</w:t>
      </w:r>
    </w:p>
    <w:p>
      <w:pPr>
        <w:keepNext w:val="0"/>
        <w:keepLines w:val="0"/>
        <w:pageBreakBefore w:val="0"/>
        <w:widowControl w:val="0"/>
        <w:kinsoku/>
        <w:wordWrap/>
        <w:overflowPunct/>
        <w:topLinePunct w:val="0"/>
        <w:autoSpaceDE/>
        <w:autoSpaceDN/>
        <w:bidi w:val="0"/>
        <w:adjustRightInd w:val="0"/>
        <w:snapToGrid w:val="0"/>
        <w:spacing w:line="360" w:lineRule="auto"/>
        <w:ind w:left="440" w:leftChars="200" w:right="440" w:rightChars="200"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投标人必须负责中标</w:t>
      </w:r>
      <w:r>
        <w:rPr>
          <w:rFonts w:hint="eastAsia" w:asciiTheme="minorEastAsia" w:hAnsiTheme="minorEastAsia" w:eastAsiaTheme="minorEastAsia"/>
          <w:sz w:val="24"/>
        </w:rPr>
        <w:t>食</w:t>
      </w:r>
      <w:r>
        <w:rPr>
          <w:rFonts w:asciiTheme="minorEastAsia" w:hAnsiTheme="minorEastAsia" w:eastAsiaTheme="minorEastAsia"/>
          <w:sz w:val="24"/>
        </w:rPr>
        <w:t>品的运输、质量检测等工作，所产生的费用由投标人负责。</w:t>
      </w:r>
    </w:p>
    <w:p>
      <w:pPr>
        <w:keepNext w:val="0"/>
        <w:keepLines w:val="0"/>
        <w:pageBreakBefore w:val="0"/>
        <w:widowControl w:val="0"/>
        <w:kinsoku/>
        <w:wordWrap/>
        <w:overflowPunct/>
        <w:topLinePunct w:val="0"/>
        <w:autoSpaceDE/>
        <w:autoSpaceDN/>
        <w:bidi w:val="0"/>
        <w:adjustRightInd w:val="0"/>
        <w:snapToGrid w:val="0"/>
        <w:spacing w:line="360" w:lineRule="auto"/>
        <w:ind w:left="440" w:leftChars="200" w:right="440" w:rightChars="200"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 xml:space="preserve"> </w:t>
      </w:r>
      <w:r>
        <w:rPr>
          <w:rFonts w:hint="eastAsia" w:asciiTheme="minorEastAsia" w:hAnsiTheme="minorEastAsia" w:eastAsiaTheme="minorEastAsia"/>
          <w:sz w:val="24"/>
        </w:rPr>
        <w:t>中标</w:t>
      </w:r>
      <w:r>
        <w:rPr>
          <w:rFonts w:asciiTheme="minorEastAsia" w:hAnsiTheme="minorEastAsia" w:eastAsiaTheme="minorEastAsia"/>
          <w:sz w:val="24"/>
        </w:rPr>
        <w:t>人不得变更供应</w:t>
      </w:r>
      <w:r>
        <w:rPr>
          <w:rFonts w:hint="eastAsia" w:asciiTheme="minorEastAsia" w:hAnsiTheme="minorEastAsia" w:eastAsiaTheme="minorEastAsia"/>
          <w:sz w:val="24"/>
        </w:rPr>
        <w:t>食</w:t>
      </w:r>
      <w:r>
        <w:rPr>
          <w:rFonts w:asciiTheme="minorEastAsia" w:hAnsiTheme="minorEastAsia" w:eastAsiaTheme="minorEastAsia"/>
          <w:sz w:val="24"/>
        </w:rPr>
        <w:t>品，应严格按招</w:t>
      </w:r>
      <w:r>
        <w:rPr>
          <w:rFonts w:hint="eastAsia" w:asciiTheme="minorEastAsia" w:hAnsiTheme="minorEastAsia" w:eastAsiaTheme="minorEastAsia"/>
          <w:sz w:val="24"/>
        </w:rPr>
        <w:t>投</w:t>
      </w:r>
      <w:r>
        <w:rPr>
          <w:rFonts w:asciiTheme="minorEastAsia" w:hAnsiTheme="minorEastAsia" w:eastAsiaTheme="minorEastAsia"/>
          <w:sz w:val="24"/>
        </w:rPr>
        <w:t>标</w:t>
      </w:r>
      <w:r>
        <w:rPr>
          <w:rFonts w:hint="eastAsia" w:asciiTheme="minorEastAsia" w:hAnsiTheme="minorEastAsia" w:eastAsiaTheme="minorEastAsia"/>
          <w:sz w:val="24"/>
        </w:rPr>
        <w:t>文件</w:t>
      </w:r>
      <w:r>
        <w:rPr>
          <w:rFonts w:asciiTheme="minorEastAsia" w:hAnsiTheme="minorEastAsia" w:eastAsiaTheme="minorEastAsia"/>
          <w:sz w:val="24"/>
        </w:rPr>
        <w:t>要求（含</w:t>
      </w:r>
      <w:r>
        <w:rPr>
          <w:rFonts w:hint="eastAsia" w:asciiTheme="minorEastAsia" w:hAnsiTheme="minorEastAsia" w:eastAsiaTheme="minorEastAsia"/>
          <w:sz w:val="24"/>
        </w:rPr>
        <w:t>货物</w:t>
      </w:r>
      <w:r>
        <w:rPr>
          <w:rFonts w:asciiTheme="minorEastAsia" w:hAnsiTheme="minorEastAsia" w:eastAsiaTheme="minorEastAsia"/>
          <w:sz w:val="24"/>
        </w:rPr>
        <w:t>名称、规格和重量等）</w:t>
      </w:r>
      <w:r>
        <w:rPr>
          <w:rFonts w:hint="eastAsia" w:asciiTheme="minorEastAsia" w:hAnsiTheme="minorEastAsia" w:eastAsiaTheme="minorEastAsia"/>
          <w:sz w:val="24"/>
        </w:rPr>
        <w:t>配送</w:t>
      </w:r>
      <w:r>
        <w:rPr>
          <w:rFonts w:asciiTheme="minorEastAsia" w:hAnsiTheme="minorEastAsia" w:eastAsiaTheme="minorEastAsia"/>
          <w:sz w:val="24"/>
        </w:rPr>
        <w:t>，否则，</w:t>
      </w:r>
      <w:r>
        <w:rPr>
          <w:rFonts w:hint="eastAsia" w:asciiTheme="minorEastAsia" w:hAnsiTheme="minorEastAsia" w:eastAsiaTheme="minorEastAsia"/>
          <w:sz w:val="24"/>
        </w:rPr>
        <w:t>采购</w:t>
      </w:r>
      <w:r>
        <w:rPr>
          <w:rFonts w:asciiTheme="minorEastAsia" w:hAnsiTheme="minorEastAsia" w:eastAsiaTheme="minorEastAsia"/>
          <w:sz w:val="24"/>
        </w:rPr>
        <w:t>人有权拒收。如因市场流通问题确实需要变更的，应书面向</w:t>
      </w:r>
      <w:r>
        <w:rPr>
          <w:rFonts w:hint="eastAsia" w:asciiTheme="minorEastAsia" w:hAnsiTheme="minorEastAsia" w:eastAsiaTheme="minorEastAsia"/>
          <w:sz w:val="24"/>
        </w:rPr>
        <w:t>采购人</w:t>
      </w:r>
      <w:r>
        <w:rPr>
          <w:rFonts w:asciiTheme="minorEastAsia" w:hAnsiTheme="minorEastAsia" w:eastAsiaTheme="minorEastAsia"/>
          <w:sz w:val="24"/>
        </w:rPr>
        <w:t>申请。</w:t>
      </w:r>
    </w:p>
    <w:p>
      <w:pPr>
        <w:keepNext w:val="0"/>
        <w:keepLines w:val="0"/>
        <w:pageBreakBefore w:val="0"/>
        <w:widowControl w:val="0"/>
        <w:kinsoku/>
        <w:wordWrap/>
        <w:overflowPunct/>
        <w:topLinePunct w:val="0"/>
        <w:autoSpaceDE/>
        <w:autoSpaceDN/>
        <w:bidi w:val="0"/>
        <w:adjustRightInd w:val="0"/>
        <w:snapToGrid w:val="0"/>
        <w:spacing w:line="360" w:lineRule="auto"/>
        <w:ind w:left="440" w:leftChars="200" w:right="440" w:rightChars="200"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采购人按合同对商品进行认真验收，对不符合规格要求的商品，</w:t>
      </w:r>
      <w:r>
        <w:rPr>
          <w:rFonts w:hint="eastAsia" w:asciiTheme="minorEastAsia" w:hAnsiTheme="minorEastAsia" w:eastAsiaTheme="minorEastAsia"/>
          <w:sz w:val="24"/>
        </w:rPr>
        <w:t>中标</w:t>
      </w:r>
      <w:r>
        <w:rPr>
          <w:rFonts w:asciiTheme="minorEastAsia" w:hAnsiTheme="minorEastAsia" w:eastAsiaTheme="minorEastAsia"/>
          <w:sz w:val="24"/>
        </w:rPr>
        <w:t>人必须无条件退货；</w:t>
      </w:r>
      <w:r>
        <w:rPr>
          <w:rFonts w:hint="eastAsia" w:asciiTheme="minorEastAsia" w:hAnsiTheme="minorEastAsia" w:eastAsiaTheme="minorEastAsia"/>
          <w:sz w:val="24"/>
        </w:rPr>
        <w:t>中标</w:t>
      </w:r>
      <w:r>
        <w:rPr>
          <w:rFonts w:asciiTheme="minorEastAsia" w:hAnsiTheme="minorEastAsia" w:eastAsiaTheme="minorEastAsia"/>
          <w:sz w:val="24"/>
        </w:rPr>
        <w:t>人未能履行招标文件和合同所定事项</w:t>
      </w:r>
      <w:r>
        <w:rPr>
          <w:rFonts w:hint="eastAsia" w:asciiTheme="minorEastAsia" w:hAnsiTheme="minorEastAsia" w:eastAsiaTheme="minorEastAsia"/>
          <w:sz w:val="24"/>
        </w:rPr>
        <w:t>，</w:t>
      </w:r>
      <w:r>
        <w:rPr>
          <w:rFonts w:asciiTheme="minorEastAsia" w:hAnsiTheme="minorEastAsia" w:eastAsiaTheme="minorEastAsia"/>
          <w:sz w:val="24"/>
        </w:rPr>
        <w:t>或供应不合格的、假冒伪劣、以次充好的商品，采购人退货后将记录在案，并对</w:t>
      </w:r>
      <w:r>
        <w:rPr>
          <w:rFonts w:hint="eastAsia" w:asciiTheme="minorEastAsia" w:hAnsiTheme="minorEastAsia" w:eastAsiaTheme="minorEastAsia"/>
          <w:sz w:val="24"/>
        </w:rPr>
        <w:t>中标</w:t>
      </w:r>
      <w:r>
        <w:rPr>
          <w:rFonts w:asciiTheme="minorEastAsia" w:hAnsiTheme="minorEastAsia" w:eastAsiaTheme="minorEastAsia"/>
          <w:sz w:val="24"/>
        </w:rPr>
        <w:t>人予以处罚， 除要承担因此产生的一切损失和费用外，情节严重的可取消其</w:t>
      </w:r>
      <w:r>
        <w:rPr>
          <w:rFonts w:hint="eastAsia" w:asciiTheme="minorEastAsia" w:hAnsiTheme="minorEastAsia" w:eastAsiaTheme="minorEastAsia"/>
          <w:sz w:val="24"/>
        </w:rPr>
        <w:t>中标</w:t>
      </w:r>
      <w:r>
        <w:rPr>
          <w:rFonts w:asciiTheme="minorEastAsia" w:hAnsiTheme="minorEastAsia" w:eastAsiaTheme="minorEastAsia"/>
          <w:sz w:val="24"/>
        </w:rPr>
        <w:t>资格。</w:t>
      </w:r>
    </w:p>
    <w:p>
      <w:pPr>
        <w:keepNext w:val="0"/>
        <w:keepLines w:val="0"/>
        <w:pageBreakBefore w:val="0"/>
        <w:kinsoku/>
        <w:wordWrap/>
        <w:overflowPunct/>
        <w:topLinePunct w:val="0"/>
        <w:autoSpaceDE/>
        <w:autoSpaceDN/>
        <w:bidi w:val="0"/>
        <w:adjustRightInd w:val="0"/>
        <w:snapToGrid w:val="0"/>
        <w:spacing w:line="360" w:lineRule="auto"/>
        <w:ind w:left="480" w:leftChars="218" w:right="440" w:rightChars="200"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如因所供食品质量或品质问题造成人员身体不适、身体伤害及经济损失的，须由</w:t>
      </w:r>
      <w:r>
        <w:rPr>
          <w:rFonts w:hint="eastAsia" w:asciiTheme="minorEastAsia" w:hAnsiTheme="minorEastAsia" w:eastAsiaTheme="minorEastAsia"/>
          <w:sz w:val="24"/>
        </w:rPr>
        <w:t>中标</w:t>
      </w:r>
      <w:r>
        <w:rPr>
          <w:rFonts w:asciiTheme="minorEastAsia" w:hAnsiTheme="minorEastAsia" w:eastAsiaTheme="minorEastAsia"/>
          <w:sz w:val="24"/>
        </w:rPr>
        <w:t>人立即派专人到现场妥善处理，做好安抚工作和善后事宜，并承担所产生的一切费用、赔偿由此发生的一切经济损失。</w:t>
      </w:r>
    </w:p>
    <w:p>
      <w:pPr>
        <w:keepNext w:val="0"/>
        <w:keepLines w:val="0"/>
        <w:pageBreakBefore w:val="0"/>
        <w:kinsoku/>
        <w:wordWrap/>
        <w:overflowPunct/>
        <w:topLinePunct w:val="0"/>
        <w:autoSpaceDE/>
        <w:autoSpaceDN/>
        <w:bidi w:val="0"/>
        <w:adjustRightInd w:val="0"/>
        <w:snapToGrid w:val="0"/>
        <w:spacing w:line="360" w:lineRule="auto"/>
        <w:ind w:left="480" w:leftChars="218" w:right="440" w:rightChars="200"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7.</w:t>
      </w:r>
      <w:r>
        <w:rPr>
          <w:rFonts w:asciiTheme="minorEastAsia" w:hAnsiTheme="minorEastAsia" w:eastAsiaTheme="minorEastAsia"/>
          <w:sz w:val="24"/>
        </w:rPr>
        <w:t>如在合同执行阶段，</w:t>
      </w:r>
      <w:r>
        <w:rPr>
          <w:rFonts w:hint="eastAsia" w:asciiTheme="minorEastAsia" w:hAnsiTheme="minorEastAsia" w:eastAsiaTheme="minorEastAsia"/>
          <w:sz w:val="24"/>
        </w:rPr>
        <w:t>中标</w:t>
      </w:r>
      <w:r>
        <w:rPr>
          <w:rFonts w:asciiTheme="minorEastAsia" w:hAnsiTheme="minorEastAsia" w:eastAsiaTheme="minorEastAsia"/>
          <w:sz w:val="24"/>
        </w:rPr>
        <w:t>人提供的货物质量及服务与</w:t>
      </w:r>
      <w:r>
        <w:rPr>
          <w:rFonts w:hint="eastAsia" w:asciiTheme="minorEastAsia" w:hAnsiTheme="minorEastAsia" w:eastAsiaTheme="minorEastAsia"/>
          <w:sz w:val="24"/>
        </w:rPr>
        <w:t>招</w:t>
      </w:r>
      <w:r>
        <w:rPr>
          <w:rFonts w:asciiTheme="minorEastAsia" w:hAnsiTheme="minorEastAsia" w:eastAsiaTheme="minorEastAsia"/>
          <w:sz w:val="24"/>
        </w:rPr>
        <w:t>投标文件所承诺的不符，采购人有权终止合同，并</w:t>
      </w:r>
      <w:r>
        <w:rPr>
          <w:rFonts w:hint="eastAsia" w:asciiTheme="minorEastAsia" w:hAnsiTheme="minorEastAsia" w:eastAsiaTheme="minorEastAsia"/>
          <w:sz w:val="24"/>
          <w:lang w:eastAsia="zh-CN"/>
        </w:rPr>
        <w:t>由中标人</w:t>
      </w:r>
      <w:r>
        <w:rPr>
          <w:rFonts w:asciiTheme="minorEastAsia" w:hAnsiTheme="minorEastAsia" w:eastAsiaTheme="minorEastAsia"/>
          <w:sz w:val="24"/>
        </w:rPr>
        <w:t>承担相关责任。</w:t>
      </w:r>
    </w:p>
    <w:p>
      <w:pPr>
        <w:keepNext w:val="0"/>
        <w:keepLines w:val="0"/>
        <w:pageBreakBefore w:val="0"/>
        <w:kinsoku/>
        <w:wordWrap/>
        <w:overflowPunct/>
        <w:topLinePunct w:val="0"/>
        <w:autoSpaceDE/>
        <w:autoSpaceDN/>
        <w:bidi w:val="0"/>
        <w:adjustRightInd w:val="0"/>
        <w:snapToGrid w:val="0"/>
        <w:spacing w:line="360" w:lineRule="auto"/>
        <w:ind w:left="480" w:leftChars="218" w:right="440" w:rightChars="200"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非采购人的人为原因而出现食品质量，由</w:t>
      </w:r>
      <w:r>
        <w:rPr>
          <w:rFonts w:hint="eastAsia" w:asciiTheme="minorEastAsia" w:hAnsiTheme="minorEastAsia" w:eastAsiaTheme="minorEastAsia"/>
          <w:sz w:val="24"/>
        </w:rPr>
        <w:t>中标</w:t>
      </w:r>
      <w:r>
        <w:rPr>
          <w:rFonts w:asciiTheme="minorEastAsia" w:hAnsiTheme="minorEastAsia" w:eastAsiaTheme="minorEastAsia"/>
          <w:sz w:val="24"/>
        </w:rPr>
        <w:t>人负责包换或包退，并承担因此而产生的一切费用。此类情况如出现 3 次的，采购人将单方面无条件解除合同，</w:t>
      </w:r>
      <w:r>
        <w:rPr>
          <w:rFonts w:hint="eastAsia" w:asciiTheme="minorEastAsia" w:hAnsiTheme="minorEastAsia" w:eastAsiaTheme="minorEastAsia"/>
          <w:sz w:val="24"/>
        </w:rPr>
        <w:t>中标</w:t>
      </w:r>
      <w:r>
        <w:rPr>
          <w:rFonts w:asciiTheme="minorEastAsia" w:hAnsiTheme="minorEastAsia" w:eastAsiaTheme="minorEastAsia"/>
          <w:sz w:val="24"/>
        </w:rPr>
        <w:t>人将承担由此给采购人带来的损失。</w:t>
      </w:r>
    </w:p>
    <w:p>
      <w:pPr>
        <w:keepNext w:val="0"/>
        <w:keepLines w:val="0"/>
        <w:pageBreakBefore w:val="0"/>
        <w:kinsoku/>
        <w:wordWrap/>
        <w:overflowPunct/>
        <w:topLinePunct w:val="0"/>
        <w:autoSpaceDE/>
        <w:autoSpaceDN/>
        <w:bidi w:val="0"/>
        <w:adjustRightInd w:val="0"/>
        <w:snapToGrid w:val="0"/>
        <w:spacing w:line="360" w:lineRule="auto"/>
        <w:ind w:left="480" w:leftChars="218" w:right="440" w:rightChars="200" w:firstLine="480" w:firstLineChars="200"/>
        <w:textAlignment w:val="auto"/>
        <w:rPr>
          <w:rFonts w:hint="eastAsia" w:asciiTheme="minorEastAsia" w:hAnsiTheme="minorEastAsia" w:eastAsiaTheme="minorEastAsia"/>
          <w:sz w:val="24"/>
        </w:rPr>
      </w:pPr>
      <w:r>
        <w:rPr>
          <w:rFonts w:hint="eastAsia" w:asciiTheme="minorEastAsia" w:hAnsiTheme="minorEastAsia" w:eastAsiaTheme="minorEastAsia"/>
          <w:sz w:val="24"/>
        </w:rPr>
        <w:t>9.质保期：所</w:t>
      </w:r>
      <w:r>
        <w:rPr>
          <w:rFonts w:hint="eastAsia" w:asciiTheme="minorEastAsia" w:hAnsiTheme="minorEastAsia" w:eastAsiaTheme="minorEastAsia"/>
          <w:sz w:val="24"/>
          <w:lang w:eastAsia="zh-CN"/>
        </w:rPr>
        <w:t>送食品</w:t>
      </w:r>
      <w:r>
        <w:rPr>
          <w:rFonts w:hint="eastAsia" w:asciiTheme="minorEastAsia" w:hAnsiTheme="minorEastAsia" w:eastAsiaTheme="minorEastAsia"/>
          <w:sz w:val="24"/>
        </w:rPr>
        <w:t>保质期剩余时间不得短于生产厂商标注保质期限的</w:t>
      </w:r>
      <w:r>
        <w:rPr>
          <w:rFonts w:hint="eastAsia" w:asciiTheme="minorEastAsia" w:hAnsiTheme="minorEastAsia" w:eastAsiaTheme="minorEastAsia"/>
          <w:sz w:val="24"/>
          <w:lang w:eastAsia="zh-CN"/>
        </w:rPr>
        <w:t>三分之二</w:t>
      </w:r>
      <w:r>
        <w:rPr>
          <w:rFonts w:hint="eastAsia" w:asciiTheme="minorEastAsia" w:hAnsiTheme="minorEastAsia" w:eastAsiaTheme="minorEastAsia"/>
          <w:sz w:val="24"/>
        </w:rPr>
        <w:t>时间。</w:t>
      </w:r>
    </w:p>
    <w:p>
      <w:pPr>
        <w:keepNext w:val="0"/>
        <w:keepLines w:val="0"/>
        <w:pageBreakBefore w:val="0"/>
        <w:kinsoku/>
        <w:wordWrap/>
        <w:overflowPunct/>
        <w:topLinePunct w:val="0"/>
        <w:autoSpaceDE/>
        <w:autoSpaceDN/>
        <w:bidi w:val="0"/>
        <w:adjustRightInd w:val="0"/>
        <w:snapToGrid w:val="0"/>
        <w:spacing w:line="360" w:lineRule="auto"/>
        <w:ind w:right="440" w:rightChars="200"/>
        <w:textAlignment w:val="auto"/>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 xml:space="preserve">   四、医用食品采购需求清单</w:t>
      </w:r>
    </w:p>
    <w:p>
      <w:pPr>
        <w:keepNext w:val="0"/>
        <w:keepLines w:val="0"/>
        <w:pageBreakBefore w:val="0"/>
        <w:kinsoku/>
        <w:wordWrap/>
        <w:overflowPunct/>
        <w:topLinePunct w:val="0"/>
        <w:autoSpaceDE/>
        <w:autoSpaceDN/>
        <w:bidi w:val="0"/>
        <w:adjustRightInd w:val="0"/>
        <w:snapToGrid w:val="0"/>
        <w:spacing w:line="360" w:lineRule="auto"/>
        <w:ind w:left="440" w:leftChars="200" w:right="440" w:rightChars="200" w:firstLine="480" w:firstLineChars="200"/>
        <w:textAlignment w:val="auto"/>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spacing w:line="220" w:lineRule="atLeast"/>
        <w:rPr>
          <w:rFonts w:ascii="宋体" w:hAnsi="宋体" w:eastAsia="宋体" w:cs="宋体"/>
        </w:rPr>
      </w:pPr>
    </w:p>
    <w:p>
      <w:pPr>
        <w:spacing w:line="360" w:lineRule="auto"/>
        <w:jc w:val="center"/>
        <w:rPr>
          <w:rFonts w:hint="eastAsia" w:asciiTheme="minorEastAsia" w:hAnsiTheme="minorEastAsia" w:eastAsiaTheme="minorEastAsia" w:cstheme="minorEastAsia"/>
          <w:b/>
          <w:sz w:val="30"/>
          <w:szCs w:val="30"/>
        </w:rPr>
      </w:pPr>
      <w:bookmarkStart w:id="0" w:name="_GoBack"/>
      <w:r>
        <w:rPr>
          <w:rFonts w:hint="eastAsia" w:asciiTheme="minorEastAsia" w:hAnsiTheme="minorEastAsia" w:eastAsiaTheme="minorEastAsia" w:cstheme="minorEastAsia"/>
          <w:b/>
          <w:sz w:val="30"/>
          <w:szCs w:val="30"/>
          <w:lang w:eastAsia="zh-CN"/>
        </w:rPr>
        <w:t>金华市妇幼保健院医用食品</w:t>
      </w:r>
      <w:r>
        <w:rPr>
          <w:rFonts w:hint="eastAsia" w:asciiTheme="minorEastAsia" w:hAnsiTheme="minorEastAsia" w:eastAsiaTheme="minorEastAsia" w:cstheme="minorEastAsia"/>
          <w:b/>
          <w:sz w:val="30"/>
          <w:szCs w:val="30"/>
        </w:rPr>
        <w:t>采购</w:t>
      </w:r>
      <w:bookmarkEnd w:id="0"/>
      <w:r>
        <w:rPr>
          <w:rFonts w:hint="eastAsia" w:asciiTheme="minorEastAsia" w:hAnsiTheme="minorEastAsia" w:eastAsiaTheme="minorEastAsia" w:cstheme="minorEastAsia"/>
          <w:b/>
          <w:sz w:val="30"/>
          <w:szCs w:val="30"/>
          <w:lang w:val="en-US" w:eastAsia="zh-CN"/>
        </w:rPr>
        <w:t>需求</w:t>
      </w:r>
      <w:r>
        <w:rPr>
          <w:rFonts w:hint="eastAsia" w:asciiTheme="minorEastAsia" w:hAnsiTheme="minorEastAsia" w:eastAsiaTheme="minorEastAsia" w:cstheme="minorEastAsia"/>
          <w:b/>
          <w:sz w:val="30"/>
          <w:szCs w:val="30"/>
        </w:rPr>
        <w:t>清单</w:t>
      </w:r>
    </w:p>
    <w:tbl>
      <w:tblPr>
        <w:tblStyle w:val="4"/>
        <w:tblW w:w="13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546"/>
        <w:gridCol w:w="1881"/>
        <w:gridCol w:w="2065"/>
        <w:gridCol w:w="4997"/>
        <w:gridCol w:w="1535"/>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exact"/>
          <w:jc w:val="center"/>
        </w:trPr>
        <w:tc>
          <w:tcPr>
            <w:tcW w:w="436" w:type="dxa"/>
            <w:noWrap w:val="0"/>
            <w:vAlign w:val="center"/>
          </w:tcPr>
          <w:p>
            <w:pPr>
              <w:jc w:val="center"/>
              <w:rPr>
                <w:rFonts w:hint="eastAsia" w:ascii="宋体" w:hAnsi="宋体" w:eastAsia="宋体"/>
                <w:sz w:val="20"/>
                <w:szCs w:val="18"/>
                <w:lang w:val="en-US" w:eastAsia="zh-CN"/>
              </w:rPr>
            </w:pPr>
            <w:r>
              <w:rPr>
                <w:rFonts w:hint="eastAsia" w:ascii="宋体" w:hAnsi="宋体"/>
                <w:sz w:val="20"/>
                <w:szCs w:val="18"/>
                <w:lang w:val="en-US" w:eastAsia="zh-CN"/>
              </w:rPr>
              <w:t>序号</w:t>
            </w:r>
          </w:p>
        </w:tc>
        <w:tc>
          <w:tcPr>
            <w:tcW w:w="1546" w:type="dxa"/>
            <w:noWrap w:val="0"/>
            <w:vAlign w:val="center"/>
          </w:tcPr>
          <w:p>
            <w:pPr>
              <w:jc w:val="center"/>
              <w:rPr>
                <w:rFonts w:hint="eastAsia" w:ascii="宋体" w:hAnsi="宋体"/>
                <w:color w:val="auto"/>
                <w:sz w:val="20"/>
                <w:szCs w:val="18"/>
                <w:highlight w:val="none"/>
                <w:shd w:val="clear" w:color="FFFFFF" w:fill="D9D9D9"/>
                <w:lang w:eastAsia="zh-CN"/>
              </w:rPr>
            </w:pPr>
            <w:r>
              <w:rPr>
                <w:rFonts w:hint="eastAsia" w:ascii="宋体" w:hAnsi="宋体"/>
                <w:color w:val="auto"/>
                <w:sz w:val="20"/>
                <w:szCs w:val="18"/>
                <w:highlight w:val="none"/>
                <w:shd w:val="clear" w:color="FFFFFF" w:fill="D9D9D9"/>
                <w:lang w:eastAsia="zh-CN"/>
              </w:rPr>
              <w:t>商品名</w:t>
            </w:r>
          </w:p>
        </w:tc>
        <w:tc>
          <w:tcPr>
            <w:tcW w:w="1881" w:type="dxa"/>
            <w:noWrap w:val="0"/>
            <w:vAlign w:val="center"/>
          </w:tcPr>
          <w:p>
            <w:pPr>
              <w:jc w:val="center"/>
              <w:rPr>
                <w:rFonts w:hint="eastAsia" w:ascii="宋体" w:hAnsi="宋体"/>
                <w:color w:val="auto"/>
                <w:sz w:val="20"/>
                <w:szCs w:val="18"/>
                <w:highlight w:val="none"/>
                <w:shd w:val="clear" w:color="FFFFFF" w:fill="D9D9D9"/>
                <w:lang w:eastAsia="zh-CN"/>
              </w:rPr>
            </w:pPr>
            <w:r>
              <w:rPr>
                <w:rFonts w:hint="eastAsia" w:ascii="宋体" w:hAnsi="宋体"/>
                <w:color w:val="auto"/>
                <w:sz w:val="20"/>
                <w:szCs w:val="18"/>
                <w:highlight w:val="none"/>
                <w:shd w:val="clear" w:color="FFFFFF" w:fill="D9D9D9"/>
                <w:lang w:val="en-US" w:eastAsia="zh-CN"/>
              </w:rPr>
              <w:t>简称</w:t>
            </w:r>
          </w:p>
        </w:tc>
        <w:tc>
          <w:tcPr>
            <w:tcW w:w="2065" w:type="dxa"/>
            <w:noWrap w:val="0"/>
            <w:vAlign w:val="center"/>
          </w:tcPr>
          <w:p>
            <w:pPr>
              <w:jc w:val="center"/>
              <w:rPr>
                <w:rFonts w:hint="eastAsia" w:ascii="宋体" w:hAnsi="宋体"/>
                <w:sz w:val="20"/>
                <w:szCs w:val="18"/>
              </w:rPr>
            </w:pPr>
            <w:r>
              <w:rPr>
                <w:rFonts w:hint="eastAsia" w:ascii="宋体" w:hAnsi="宋体"/>
                <w:sz w:val="20"/>
                <w:szCs w:val="18"/>
              </w:rPr>
              <w:t>适用人群</w:t>
            </w:r>
          </w:p>
        </w:tc>
        <w:tc>
          <w:tcPr>
            <w:tcW w:w="4997" w:type="dxa"/>
            <w:noWrap w:val="0"/>
            <w:vAlign w:val="center"/>
          </w:tcPr>
          <w:p>
            <w:pPr>
              <w:jc w:val="center"/>
              <w:rPr>
                <w:rFonts w:ascii="宋体" w:hAnsi="宋体"/>
                <w:b/>
                <w:color w:val="000000"/>
                <w:sz w:val="20"/>
                <w:szCs w:val="18"/>
              </w:rPr>
            </w:pPr>
            <w:r>
              <w:rPr>
                <w:rFonts w:hint="eastAsia" w:ascii="宋体" w:hAnsi="宋体"/>
                <w:b/>
                <w:color w:val="000000"/>
                <w:sz w:val="20"/>
                <w:szCs w:val="18"/>
              </w:rPr>
              <w:t>★</w:t>
            </w:r>
            <w:r>
              <w:rPr>
                <w:rFonts w:ascii="宋体" w:hAnsi="宋体"/>
                <w:b/>
                <w:color w:val="000000"/>
                <w:sz w:val="20"/>
                <w:szCs w:val="18"/>
              </w:rPr>
              <w:t>质量指标</w:t>
            </w:r>
          </w:p>
          <w:p>
            <w:pPr>
              <w:jc w:val="center"/>
              <w:rPr>
                <w:rFonts w:ascii="宋体" w:hAnsi="宋体"/>
                <w:b/>
                <w:color w:val="000000"/>
                <w:sz w:val="20"/>
                <w:szCs w:val="18"/>
              </w:rPr>
            </w:pPr>
            <w:r>
              <w:rPr>
                <w:rFonts w:hint="eastAsia" w:ascii="宋体" w:hAnsi="宋体"/>
                <w:b/>
                <w:color w:val="000000"/>
                <w:sz w:val="20"/>
                <w:szCs w:val="18"/>
              </w:rPr>
              <w:t>（请再次确认：以下指标不满足则废标）</w:t>
            </w:r>
          </w:p>
        </w:tc>
        <w:tc>
          <w:tcPr>
            <w:tcW w:w="1535" w:type="dxa"/>
            <w:noWrap w:val="0"/>
            <w:vAlign w:val="center"/>
          </w:tcPr>
          <w:p>
            <w:pPr>
              <w:jc w:val="center"/>
              <w:rPr>
                <w:rFonts w:ascii="宋体" w:hAnsi="宋体"/>
                <w:b/>
                <w:color w:val="000000"/>
                <w:sz w:val="20"/>
                <w:szCs w:val="18"/>
              </w:rPr>
            </w:pPr>
            <w:r>
              <w:rPr>
                <w:rFonts w:hint="eastAsia" w:ascii="宋体" w:hAnsi="宋体"/>
                <w:b/>
                <w:color w:val="000000"/>
                <w:sz w:val="20"/>
                <w:szCs w:val="18"/>
              </w:rPr>
              <w:t>单价</w:t>
            </w:r>
            <w:r>
              <w:rPr>
                <w:rFonts w:ascii="宋体" w:hAnsi="宋体"/>
                <w:b/>
                <w:color w:val="000000"/>
                <w:sz w:val="20"/>
                <w:szCs w:val="18"/>
              </w:rPr>
              <w:t xml:space="preserve">限价         </w:t>
            </w:r>
          </w:p>
          <w:p>
            <w:pPr>
              <w:jc w:val="center"/>
              <w:rPr>
                <w:rFonts w:ascii="宋体" w:hAnsi="宋体"/>
                <w:color w:val="000000"/>
                <w:sz w:val="20"/>
                <w:szCs w:val="18"/>
              </w:rPr>
            </w:pPr>
            <w:r>
              <w:rPr>
                <w:rFonts w:ascii="宋体" w:hAnsi="宋体"/>
                <w:b/>
                <w:color w:val="000000"/>
                <w:sz w:val="20"/>
                <w:szCs w:val="18"/>
              </w:rPr>
              <w:t>（元/g或元/ml）</w:t>
            </w:r>
          </w:p>
        </w:tc>
        <w:tc>
          <w:tcPr>
            <w:tcW w:w="876" w:type="dxa"/>
            <w:noWrap w:val="0"/>
            <w:vAlign w:val="center"/>
          </w:tcPr>
          <w:p>
            <w:pPr>
              <w:jc w:val="center"/>
              <w:rPr>
                <w:rFonts w:ascii="宋体" w:hAnsi="宋体"/>
                <w:sz w:val="20"/>
                <w:szCs w:val="18"/>
              </w:rPr>
            </w:pPr>
            <w:r>
              <w:rPr>
                <w:rFonts w:hint="eastAsia" w:ascii="宋体" w:hAnsi="宋体"/>
                <w:sz w:val="20"/>
                <w:szCs w:val="18"/>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436" w:type="dxa"/>
            <w:shd w:val="clear" w:color="auto" w:fill="FFFFFF"/>
            <w:noWrap w:val="0"/>
            <w:vAlign w:val="center"/>
          </w:tcPr>
          <w:p>
            <w:pPr>
              <w:jc w:val="center"/>
              <w:rPr>
                <w:rFonts w:hint="eastAsia" w:ascii="宋体" w:hAnsi="宋体" w:eastAsia="宋体"/>
                <w:sz w:val="20"/>
                <w:szCs w:val="18"/>
                <w:lang w:val="en-US" w:eastAsia="zh-CN"/>
              </w:rPr>
            </w:pPr>
            <w:r>
              <w:rPr>
                <w:rFonts w:hint="eastAsia" w:ascii="宋体" w:hAnsi="宋体"/>
                <w:sz w:val="20"/>
                <w:szCs w:val="18"/>
                <w:lang w:val="en-US" w:eastAsia="zh-CN"/>
              </w:rPr>
              <w:t>1</w:t>
            </w:r>
          </w:p>
        </w:tc>
        <w:tc>
          <w:tcPr>
            <w:tcW w:w="1546" w:type="dxa"/>
            <w:noWrap w:val="0"/>
            <w:vAlign w:val="center"/>
          </w:tcPr>
          <w:p>
            <w:pPr>
              <w:rPr>
                <w:rFonts w:hint="default" w:ascii="Arial" w:hAnsi="Arial" w:eastAsia="宋体" w:cs="Arial"/>
                <w:i w:val="0"/>
                <w:caps w:val="0"/>
                <w:color w:val="000000"/>
                <w:spacing w:val="0"/>
                <w:sz w:val="19"/>
                <w:szCs w:val="19"/>
                <w:shd w:val="clear" w:color="auto" w:fill="FFFFFF"/>
                <w:lang w:val="en-US" w:eastAsia="zh-CN"/>
              </w:rPr>
            </w:pPr>
            <w:r>
              <w:rPr>
                <w:rFonts w:hint="eastAsia" w:ascii="Arial" w:hAnsi="Arial" w:eastAsia="宋体" w:cs="Arial"/>
                <w:i w:val="0"/>
                <w:caps w:val="0"/>
                <w:color w:val="000000"/>
                <w:spacing w:val="0"/>
                <w:sz w:val="19"/>
                <w:szCs w:val="19"/>
                <w:shd w:val="clear" w:color="auto" w:fill="FFFFFF"/>
                <w:lang w:val="en-US" w:eastAsia="zh-CN"/>
              </w:rPr>
              <w:t>特殊医学用途配方食品儿童专用水解奶</w:t>
            </w:r>
          </w:p>
        </w:tc>
        <w:tc>
          <w:tcPr>
            <w:tcW w:w="1881" w:type="dxa"/>
            <w:noWrap w:val="0"/>
            <w:vAlign w:val="center"/>
          </w:tcPr>
          <w:p>
            <w:pPr>
              <w:rPr>
                <w:rFonts w:hint="eastAsia" w:ascii="宋体" w:hAnsi="宋体" w:eastAsia="宋体"/>
                <w:color w:val="000000"/>
                <w:sz w:val="20"/>
                <w:szCs w:val="18"/>
                <w:lang w:eastAsia="zh-CN"/>
              </w:rPr>
            </w:pPr>
            <w:r>
              <w:rPr>
                <w:rFonts w:hint="eastAsia" w:ascii="宋体" w:hAnsi="宋体"/>
                <w:color w:val="000000"/>
                <w:sz w:val="20"/>
                <w:szCs w:val="18"/>
                <w:lang w:val="en-US" w:eastAsia="zh-CN"/>
              </w:rPr>
              <w:t>深度</w:t>
            </w:r>
            <w:r>
              <w:rPr>
                <w:rFonts w:hint="eastAsia" w:ascii="宋体" w:hAnsi="宋体"/>
                <w:color w:val="000000"/>
                <w:sz w:val="20"/>
                <w:szCs w:val="18"/>
              </w:rPr>
              <w:t>水解奶</w:t>
            </w:r>
            <w:r>
              <w:rPr>
                <w:rFonts w:hint="eastAsia" w:ascii="宋体" w:hAnsi="宋体"/>
                <w:color w:val="000000"/>
                <w:sz w:val="20"/>
                <w:szCs w:val="18"/>
                <w:lang w:eastAsia="zh-CN"/>
              </w:rPr>
              <w:t>（</w:t>
            </w:r>
            <w:r>
              <w:rPr>
                <w:rFonts w:hint="eastAsia" w:ascii="宋体" w:hAnsi="宋体"/>
                <w:color w:val="000000"/>
                <w:sz w:val="20"/>
                <w:szCs w:val="18"/>
                <w:lang w:val="en-US" w:eastAsia="zh-CN"/>
              </w:rPr>
              <w:t>0-1岁</w:t>
            </w:r>
            <w:r>
              <w:rPr>
                <w:rFonts w:hint="eastAsia" w:ascii="宋体" w:hAnsi="宋体"/>
                <w:color w:val="000000"/>
                <w:sz w:val="20"/>
                <w:szCs w:val="18"/>
                <w:lang w:eastAsia="zh-CN"/>
              </w:rPr>
              <w:t>）</w:t>
            </w:r>
          </w:p>
        </w:tc>
        <w:tc>
          <w:tcPr>
            <w:tcW w:w="2065" w:type="dxa"/>
            <w:noWrap w:val="0"/>
            <w:vAlign w:val="center"/>
          </w:tcPr>
          <w:p>
            <w:pPr>
              <w:rPr>
                <w:rFonts w:ascii="宋体" w:hAnsi="宋体"/>
                <w:color w:val="000000"/>
                <w:sz w:val="20"/>
                <w:szCs w:val="18"/>
              </w:rPr>
            </w:pPr>
            <w:r>
              <w:rPr>
                <w:rFonts w:hint="eastAsia" w:ascii="宋体" w:hAnsi="宋体"/>
                <w:color w:val="000000"/>
                <w:sz w:val="20"/>
                <w:szCs w:val="18"/>
              </w:rPr>
              <w:t>适用于0-12月龄乳蛋白过敏高风险婴儿</w:t>
            </w:r>
          </w:p>
        </w:tc>
        <w:tc>
          <w:tcPr>
            <w:tcW w:w="4997" w:type="dxa"/>
            <w:noWrap w:val="0"/>
            <w:vAlign w:val="center"/>
          </w:tcPr>
          <w:p>
            <w:pPr>
              <w:rPr>
                <w:rFonts w:ascii="宋体" w:hAnsi="宋体"/>
                <w:color w:val="000000"/>
                <w:sz w:val="20"/>
                <w:szCs w:val="18"/>
              </w:rPr>
            </w:pPr>
            <w:r>
              <w:rPr>
                <w:rFonts w:hint="eastAsia" w:ascii="宋体" w:hAnsi="宋体"/>
                <w:color w:val="000000"/>
                <w:sz w:val="20"/>
                <w:szCs w:val="18"/>
              </w:rPr>
              <w:t>乳糖含量&lt;0.5g；每100g提供能量≥2000KJ，蛋白质≥</w:t>
            </w:r>
            <w:r>
              <w:rPr>
                <w:rFonts w:hint="eastAsia" w:ascii="宋体" w:hAnsi="宋体"/>
                <w:color w:val="000000"/>
                <w:sz w:val="20"/>
                <w:szCs w:val="18"/>
                <w:lang w:val="en-US" w:eastAsia="zh-CN"/>
              </w:rPr>
              <w:t>9</w:t>
            </w:r>
            <w:r>
              <w:rPr>
                <w:rFonts w:hint="eastAsia" w:ascii="宋体" w:hAnsi="宋体"/>
                <w:color w:val="000000"/>
                <w:sz w:val="20"/>
                <w:szCs w:val="18"/>
              </w:rPr>
              <w:t>.5g，脂肪≥24.5g，碳水化合物≥50g。</w:t>
            </w:r>
            <w:r>
              <w:rPr>
                <w:rFonts w:hint="eastAsia"/>
                <w:color w:val="000000"/>
                <w:sz w:val="20"/>
                <w:szCs w:val="21"/>
              </w:rPr>
              <w:t>有特殊医学用途配方食品注册证</w:t>
            </w:r>
          </w:p>
        </w:tc>
        <w:tc>
          <w:tcPr>
            <w:tcW w:w="1535" w:type="dxa"/>
            <w:noWrap w:val="0"/>
            <w:vAlign w:val="center"/>
          </w:tcPr>
          <w:p>
            <w:pPr>
              <w:jc w:val="center"/>
              <w:rPr>
                <w:rFonts w:ascii="宋体" w:hAnsi="宋体"/>
                <w:color w:val="000000"/>
                <w:sz w:val="20"/>
                <w:szCs w:val="18"/>
              </w:rPr>
            </w:pPr>
            <w:r>
              <w:rPr>
                <w:rFonts w:hint="eastAsia" w:ascii="宋体" w:hAnsi="宋体"/>
                <w:b/>
                <w:color w:val="000000"/>
                <w:sz w:val="20"/>
                <w:szCs w:val="18"/>
              </w:rPr>
              <w:t>0</w:t>
            </w:r>
            <w:r>
              <w:rPr>
                <w:rFonts w:ascii="宋体" w:hAnsi="宋体"/>
                <w:b/>
                <w:color w:val="000000"/>
                <w:sz w:val="20"/>
                <w:szCs w:val="18"/>
              </w:rPr>
              <w:t>.1</w:t>
            </w:r>
            <w:r>
              <w:rPr>
                <w:rFonts w:hint="eastAsia" w:ascii="宋体" w:hAnsi="宋体"/>
                <w:b/>
                <w:color w:val="000000"/>
                <w:sz w:val="20"/>
                <w:szCs w:val="18"/>
              </w:rPr>
              <w:t>元/克</w:t>
            </w:r>
          </w:p>
        </w:tc>
        <w:tc>
          <w:tcPr>
            <w:tcW w:w="876" w:type="dxa"/>
            <w:noWrap w:val="0"/>
            <w:vAlign w:val="center"/>
          </w:tcPr>
          <w:p>
            <w:pPr>
              <w:jc w:val="center"/>
              <w:rPr>
                <w:rFonts w:hint="default" w:ascii="宋体" w:hAnsi="宋体" w:eastAsia="宋体"/>
                <w:sz w:val="20"/>
                <w:szCs w:val="18"/>
                <w:lang w:val="en-US" w:eastAsia="zh-CN"/>
              </w:rPr>
            </w:pPr>
            <w:r>
              <w:rPr>
                <w:rFonts w:hint="eastAsia" w:ascii="宋体" w:hAnsi="宋体"/>
                <w:sz w:val="20"/>
                <w:szCs w:val="18"/>
                <w:lang w:val="en-US" w:eastAsia="zh-CN"/>
              </w:rPr>
              <w:t>1万</w:t>
            </w:r>
          </w:p>
        </w:tc>
      </w:tr>
    </w:tbl>
    <w:p>
      <w:pPr>
        <w:spacing w:line="220" w:lineRule="atLeast"/>
        <w:rPr>
          <w:rFonts w:ascii="宋体" w:hAnsi="宋体" w:eastAsia="宋体" w:cs="宋体"/>
        </w:rPr>
      </w:pPr>
    </w:p>
    <w:sectPr>
      <w:pgSz w:w="16838" w:h="11906" w:orient="landscape"/>
      <w:pgMar w:top="794" w:right="1457" w:bottom="794" w:left="145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yMDlkMGM5YThkNjU2YmFkYTRkNzMxMmI4NWE1MmQifQ=="/>
  </w:docVars>
  <w:rsids>
    <w:rsidRoot w:val="00D31D50"/>
    <w:rsid w:val="00013DC0"/>
    <w:rsid w:val="00033F59"/>
    <w:rsid w:val="000714DC"/>
    <w:rsid w:val="00091658"/>
    <w:rsid w:val="00096CFA"/>
    <w:rsid w:val="000A2FFA"/>
    <w:rsid w:val="000B78A8"/>
    <w:rsid w:val="000C1045"/>
    <w:rsid w:val="000D0DDF"/>
    <w:rsid w:val="000D2EA8"/>
    <w:rsid w:val="000D31C3"/>
    <w:rsid w:val="000E0392"/>
    <w:rsid w:val="00134817"/>
    <w:rsid w:val="00157AE4"/>
    <w:rsid w:val="001717EA"/>
    <w:rsid w:val="001B2628"/>
    <w:rsid w:val="001C29B4"/>
    <w:rsid w:val="001C5459"/>
    <w:rsid w:val="001D158D"/>
    <w:rsid w:val="001E25CF"/>
    <w:rsid w:val="001F07D7"/>
    <w:rsid w:val="00220E67"/>
    <w:rsid w:val="00222466"/>
    <w:rsid w:val="00224FB3"/>
    <w:rsid w:val="002363D8"/>
    <w:rsid w:val="002426A3"/>
    <w:rsid w:val="00260069"/>
    <w:rsid w:val="002726AE"/>
    <w:rsid w:val="002C48ED"/>
    <w:rsid w:val="002D0B28"/>
    <w:rsid w:val="002E10F8"/>
    <w:rsid w:val="00323B43"/>
    <w:rsid w:val="00362254"/>
    <w:rsid w:val="00394DD3"/>
    <w:rsid w:val="003C2F05"/>
    <w:rsid w:val="003D37D8"/>
    <w:rsid w:val="003E7E9C"/>
    <w:rsid w:val="0041280D"/>
    <w:rsid w:val="004209C2"/>
    <w:rsid w:val="00421047"/>
    <w:rsid w:val="00426133"/>
    <w:rsid w:val="00433174"/>
    <w:rsid w:val="004358AB"/>
    <w:rsid w:val="004522F1"/>
    <w:rsid w:val="00454A0F"/>
    <w:rsid w:val="00471760"/>
    <w:rsid w:val="00472D6D"/>
    <w:rsid w:val="004B1E3F"/>
    <w:rsid w:val="004B79D7"/>
    <w:rsid w:val="004C6B6D"/>
    <w:rsid w:val="005003DC"/>
    <w:rsid w:val="005065A1"/>
    <w:rsid w:val="005400C2"/>
    <w:rsid w:val="00561835"/>
    <w:rsid w:val="00574B03"/>
    <w:rsid w:val="00585119"/>
    <w:rsid w:val="00587281"/>
    <w:rsid w:val="005A3604"/>
    <w:rsid w:val="005A3E17"/>
    <w:rsid w:val="005C42EC"/>
    <w:rsid w:val="005D53AB"/>
    <w:rsid w:val="005E1958"/>
    <w:rsid w:val="005E1A43"/>
    <w:rsid w:val="005E265F"/>
    <w:rsid w:val="005E3223"/>
    <w:rsid w:val="00617271"/>
    <w:rsid w:val="00656387"/>
    <w:rsid w:val="006609C2"/>
    <w:rsid w:val="00664A37"/>
    <w:rsid w:val="00670036"/>
    <w:rsid w:val="006A370D"/>
    <w:rsid w:val="006E1999"/>
    <w:rsid w:val="00711797"/>
    <w:rsid w:val="00726DDC"/>
    <w:rsid w:val="00764EA4"/>
    <w:rsid w:val="007909D2"/>
    <w:rsid w:val="00791235"/>
    <w:rsid w:val="007C1267"/>
    <w:rsid w:val="007F4B26"/>
    <w:rsid w:val="0080716B"/>
    <w:rsid w:val="00812166"/>
    <w:rsid w:val="00817C10"/>
    <w:rsid w:val="00824C93"/>
    <w:rsid w:val="008313F1"/>
    <w:rsid w:val="00835ADA"/>
    <w:rsid w:val="00837C07"/>
    <w:rsid w:val="008760CD"/>
    <w:rsid w:val="00883363"/>
    <w:rsid w:val="008A4E3E"/>
    <w:rsid w:val="008B7726"/>
    <w:rsid w:val="008C043F"/>
    <w:rsid w:val="008C1A83"/>
    <w:rsid w:val="008D3FF0"/>
    <w:rsid w:val="008D594C"/>
    <w:rsid w:val="008E60D8"/>
    <w:rsid w:val="00926DA4"/>
    <w:rsid w:val="00961E7B"/>
    <w:rsid w:val="00982385"/>
    <w:rsid w:val="0099129F"/>
    <w:rsid w:val="009A08AD"/>
    <w:rsid w:val="009A3AA2"/>
    <w:rsid w:val="009C64E3"/>
    <w:rsid w:val="009C7D02"/>
    <w:rsid w:val="009D0BC7"/>
    <w:rsid w:val="009D42E8"/>
    <w:rsid w:val="009D7EA9"/>
    <w:rsid w:val="009E5E84"/>
    <w:rsid w:val="00A149B4"/>
    <w:rsid w:val="00A3491C"/>
    <w:rsid w:val="00A4721D"/>
    <w:rsid w:val="00A5247F"/>
    <w:rsid w:val="00A52B6C"/>
    <w:rsid w:val="00A62F6A"/>
    <w:rsid w:val="00AB380B"/>
    <w:rsid w:val="00AF0E98"/>
    <w:rsid w:val="00B15172"/>
    <w:rsid w:val="00B23EEC"/>
    <w:rsid w:val="00B24259"/>
    <w:rsid w:val="00B26384"/>
    <w:rsid w:val="00B267A1"/>
    <w:rsid w:val="00B3067B"/>
    <w:rsid w:val="00B3482B"/>
    <w:rsid w:val="00B8107B"/>
    <w:rsid w:val="00B94381"/>
    <w:rsid w:val="00C06220"/>
    <w:rsid w:val="00C139D9"/>
    <w:rsid w:val="00C1494A"/>
    <w:rsid w:val="00C2176B"/>
    <w:rsid w:val="00C453F8"/>
    <w:rsid w:val="00C46780"/>
    <w:rsid w:val="00C90D66"/>
    <w:rsid w:val="00CA4453"/>
    <w:rsid w:val="00CE2371"/>
    <w:rsid w:val="00CE48FF"/>
    <w:rsid w:val="00D02146"/>
    <w:rsid w:val="00D31D50"/>
    <w:rsid w:val="00D34609"/>
    <w:rsid w:val="00D70F13"/>
    <w:rsid w:val="00D90139"/>
    <w:rsid w:val="00D9228B"/>
    <w:rsid w:val="00DB3B31"/>
    <w:rsid w:val="00DB7055"/>
    <w:rsid w:val="00DB744D"/>
    <w:rsid w:val="00DC2D4B"/>
    <w:rsid w:val="00E167B3"/>
    <w:rsid w:val="00E17777"/>
    <w:rsid w:val="00E34040"/>
    <w:rsid w:val="00E51CFB"/>
    <w:rsid w:val="00E66C80"/>
    <w:rsid w:val="00E82302"/>
    <w:rsid w:val="00E87199"/>
    <w:rsid w:val="00E936F5"/>
    <w:rsid w:val="00EB6042"/>
    <w:rsid w:val="00ED28A8"/>
    <w:rsid w:val="00F17182"/>
    <w:rsid w:val="00F23553"/>
    <w:rsid w:val="00F244EE"/>
    <w:rsid w:val="00F457EB"/>
    <w:rsid w:val="00F47F52"/>
    <w:rsid w:val="00F8311D"/>
    <w:rsid w:val="00FA7A87"/>
    <w:rsid w:val="00FD1312"/>
    <w:rsid w:val="00FE0668"/>
    <w:rsid w:val="00FE1A09"/>
    <w:rsid w:val="00FF53DC"/>
    <w:rsid w:val="09101DEE"/>
    <w:rsid w:val="096D434C"/>
    <w:rsid w:val="11737D2A"/>
    <w:rsid w:val="12D03EBC"/>
    <w:rsid w:val="17425731"/>
    <w:rsid w:val="175D140E"/>
    <w:rsid w:val="19CD79F0"/>
    <w:rsid w:val="1EA25245"/>
    <w:rsid w:val="212F774E"/>
    <w:rsid w:val="29B82F79"/>
    <w:rsid w:val="2C097C90"/>
    <w:rsid w:val="2CBC18F9"/>
    <w:rsid w:val="33A43D7E"/>
    <w:rsid w:val="37FC2C28"/>
    <w:rsid w:val="3AC93FF2"/>
    <w:rsid w:val="3D183E2B"/>
    <w:rsid w:val="40DB4DF2"/>
    <w:rsid w:val="42CB7412"/>
    <w:rsid w:val="43FA7EB6"/>
    <w:rsid w:val="489628B8"/>
    <w:rsid w:val="4B180CF1"/>
    <w:rsid w:val="54F41BE1"/>
    <w:rsid w:val="5AD4696C"/>
    <w:rsid w:val="5AF46194"/>
    <w:rsid w:val="5CA25BE5"/>
    <w:rsid w:val="5D6E0368"/>
    <w:rsid w:val="5F391A50"/>
    <w:rsid w:val="65EC39F1"/>
    <w:rsid w:val="67202ADB"/>
    <w:rsid w:val="677144A9"/>
    <w:rsid w:val="6ACA08D7"/>
    <w:rsid w:val="737F4707"/>
    <w:rsid w:val="765D2E05"/>
    <w:rsid w:val="7C5D1413"/>
    <w:rsid w:val="7CBF3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customStyle="1" w:styleId="6">
    <w:name w:val="Table Paragraph"/>
    <w:basedOn w:val="1"/>
    <w:qFormat/>
    <w:uiPriority w:val="1"/>
    <w:pPr>
      <w:widowControl w:val="0"/>
      <w:autoSpaceDE w:val="0"/>
      <w:autoSpaceDN w:val="0"/>
      <w:adjustRightInd/>
      <w:snapToGrid/>
      <w:spacing w:after="0"/>
    </w:pPr>
    <w:rPr>
      <w:rFonts w:ascii="微软雅黑" w:hAnsi="微软雅黑" w:cs="微软雅黑"/>
    </w:rPr>
  </w:style>
  <w:style w:type="character" w:customStyle="1" w:styleId="7">
    <w:name w:val="页眉 Char"/>
    <w:basedOn w:val="5"/>
    <w:link w:val="3"/>
    <w:qFormat/>
    <w:uiPriority w:val="99"/>
    <w:rPr>
      <w:rFonts w:ascii="Tahoma" w:hAnsi="Tahoma"/>
      <w:sz w:val="18"/>
      <w:szCs w:val="18"/>
    </w:rPr>
  </w:style>
  <w:style w:type="character" w:customStyle="1" w:styleId="8">
    <w:name w:val="页脚 Char"/>
    <w:basedOn w:val="5"/>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1695</Words>
  <Characters>1966</Characters>
  <Lines>8</Lines>
  <Paragraphs>2</Paragraphs>
  <TotalTime>11</TotalTime>
  <ScaleCrop>false</ScaleCrop>
  <LinksUpToDate>false</LinksUpToDate>
  <CharactersWithSpaces>2041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依山观澜</cp:lastModifiedBy>
  <cp:lastPrinted>2022-12-25T14:15:00Z</cp:lastPrinted>
  <dcterms:modified xsi:type="dcterms:W3CDTF">2023-04-06T12:23:44Z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8FC207831AF34EF7911A4167F9C21734_13</vt:lpwstr>
  </property>
</Properties>
</file>